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before="100"/>
      </w:pPr>
      <w:r>
        <w:rPr>
          <w:rFonts w:ascii="Calibri" w:cs="Calibri" w:eastAsia="Calibri" w:hAnsi="Calibri"/>
          <w:b/>
          <w:bCs/>
          <w:color w:val="2E74B5"/>
          <w:sz w:val="22"/>
          <w:szCs w:val="22"/>
        </w:rPr>
        <w:t xml:space="preserve">BUSINESS RESILIENCE PULSE CHECK</w:t>
      </w:r>
    </w:p>
    <w:p>
      <w:pPr>
        <w:spacing w:after="200"/>
      </w:pPr>
      <w:r>
        <w:rPr>
          <w:rFonts w:ascii="Calibri" w:cs="Calibri" w:eastAsia="Calibri" w:hAnsi="Calibri"/>
          <w:b/>
          <w:bCs/>
          <w:color w:val="595959"/>
          <w:sz w:val="20"/>
          <w:szCs w:val="20"/>
        </w:rPr>
        <w:t xml:space="preserve">PC-401</w:t>
      </w:r>
    </w:p>
    <w:p>
      <w:pPr>
        <w:spacing w:after="120"/>
      </w:pPr>
      <w:r>
        <w:rPr>
          <w:rFonts w:ascii="Calibri" w:cs="Calibri" w:eastAsia="Calibri" w:hAnsi="Calibri"/>
          <w:b/>
          <w:bCs/>
          <w:color w:val="1F3864"/>
          <w:sz w:val="52"/>
          <w:szCs w:val="52"/>
        </w:rPr>
        <w:t xml:space="preserve">Service One-Pager</w:t>
      </w:r>
    </w:p>
    <w:p>
      <w:pPr>
        <w:spacing w:after="100"/>
      </w:pPr>
      <w:r>
        <w:rPr>
          <w:rFonts w:ascii="Calibri" w:cs="Calibri" w:eastAsia="Calibri" w:hAnsi="Calibri"/>
          <w:color w:val="595959"/>
          <w:sz w:val="24"/>
          <w:szCs w:val="24"/>
        </w:rPr>
        <w:t xml:space="preserve">Client-facing overview, the diagnostic that starts every advisory relationship</w:t>
      </w:r>
    </w:p>
    <w:p>
      <w:pPr>
        <w:pBdr>
          <w:bottom w:val="single" w:color="2E74B5" w:sz="8" w:space="6"/>
        </w:pBdr>
        <w:spacing w:after="80"/>
      </w:pPr>
      <w:r>
        <w:rPr>
          <w:rFonts w:ascii="Calibri" w:cs="Calibri" w:eastAsia="Calibri" w:hAnsi="Calibri"/>
          <w:color w:val="595959"/>
          <w:sz w:val="20"/>
          <w:szCs w:val="20"/>
        </w:rPr>
        <w:t xml:space="preserve">Client-Facing  |  Version 1.0  |  July 2026</w:t>
      </w:r>
    </w:p>
    <w:p>
      <w:pPr>
        <w:spacing w:after="160"/>
      </w:pPr>
    </w:p>
    <w:tbl>
      <w:tblPr>
        <w:tblW w:type="dxa" w:w="9360"/>
        <w:tblBorders>
          <w:top w:val="none" w:color="FFFFFF" w:sz="0"/>
          <w:left w:val="none" w:color="FFFFFF" w:sz="0"/>
          <w:bottom w:val="none" w:color="FFFFFF" w:sz="0"/>
          <w:right w:val="none" w:color="FFFFFF" w:sz="0"/>
          <w:insideH w:val="none" w:color="FFFFFF" w:sz="0"/>
          <w:insideV w:val="none" w:color="FFFFFF" w:sz="0"/>
        </w:tblBorders>
      </w:tblPr>
      <w:tblGrid>
        <w:gridCol w:w="9360"/>
      </w:tblGrid>
      <w:tr>
        <w:tc>
          <w:tcPr>
            <w:tcW w:type="dxa" w:w="9360"/>
            <w:tcBorders>
              <w:top w:val="none" w:color="FFFFFF" w:sz="0"/>
              <w:left w:val="single" w:color="2E74B5" w:sz="24"/>
              <w:bottom w:val="none" w:color="FFFFFF" w:sz="0"/>
              <w:right w:val="none" w:color="FFFFFF" w:sz="0"/>
            </w:tcBorders>
            <w:shd w:fill="DEEBF7" w:val="clear"/>
            <w:tcMar>
              <w:top w:type="dxa" w:w="100"/>
              <w:left w:type="dxa" w:w="160"/>
              <w:bottom w:type="dxa" w:w="100"/>
              <w:right w:type="dxa" w:w="160"/>
            </w:tcMar>
          </w:tcPr>
          <w:p>
            <w:pPr>
              <w:spacing w:after="60"/>
            </w:pPr>
            <w:r>
              <w:rPr>
                <w:rFonts w:ascii="Calibri" w:cs="Calibri" w:eastAsia="Calibri" w:hAnsi="Calibri"/>
                <w:b/>
                <w:bCs/>
                <w:color w:val="2E74B5"/>
                <w:sz w:val="20"/>
                <w:szCs w:val="20"/>
              </w:rPr>
              <w:t xml:space="preserve">✎  CUSTOMIZE</w:t>
            </w:r>
          </w:p>
          <w:p>
            <w:pPr>
              <w:spacing w:after="40" w:before="0" w:line="276"/>
            </w:pPr>
            <w:r>
              <w:rPr>
                <w:rFonts w:ascii="Calibri" w:cs="Calibri" w:eastAsia="Calibri" w:hAnsi="Calibri"/>
                <w:color w:val="404040"/>
                <w:sz w:val="20"/>
                <w:szCs w:val="20"/>
              </w:rPr>
              <w:t xml:space="preserve">Replace [YOUR ORGANIZATION NAME] throughout, extract the one-pager below, and print on branded letterhead. This document positions the Pulse Check as the entry point into your advisory relationship, the diagnostic that frames every subsequent conversation.</w:t>
            </w:r>
          </w:p>
        </w:tc>
      </w:tr>
    </w:tbl>
    <w:p>
      <w:r>
        <w:br w:type="page"/>
      </w:r>
    </w:p>
    <w:p>
      <w:pPr>
        <w:spacing w:after="120" w:before="0" w:line="276"/>
      </w:pPr>
      <w:r>
        <w:rPr>
          <w:rFonts w:ascii="Calibri" w:cs="Calibri" w:eastAsia="Calibri" w:hAnsi="Calibri"/>
          <w:color w:val="404040"/>
          <w:sz w:val="26"/>
          <w:szCs w:val="26"/>
        </w:rPr>
        <w:t xml:space="preserve"/>
      </w:r>
      <w:r>
        <w:rPr>
          <w:rFonts w:ascii="Calibri" w:cs="Calibri" w:eastAsia="Calibri" w:hAnsi="Calibri"/>
          <w:b/>
          <w:bCs/>
          <w:color w:val="404040"/>
          <w:sz w:val="26"/>
          <w:szCs w:val="26"/>
        </w:rPr>
        <w:t xml:space="preserve">[YOUR ORGANIZATION NAME]</w:t>
      </w:r>
      <w:r>
        <w:rPr>
          <w:rFonts w:ascii="Calibri" w:cs="Calibri" w:eastAsia="Calibri" w:hAnsi="Calibri"/>
          <w:color w:val="404040"/>
          <w:sz w:val="26"/>
          <w:szCs w:val="26"/>
        </w:rPr>
        <w:t xml:space="preserve"/>
      </w:r>
    </w:p>
    <w:p>
      <w:pPr>
        <w:spacing w:after="120" w:before="0" w:line="276"/>
      </w:pPr>
      <w:r>
        <w:rPr>
          <w:rFonts w:ascii="Calibri" w:cs="Calibri" w:eastAsia="Calibri" w:hAnsi="Calibri"/>
          <w:color w:val="404040"/>
          <w:sz w:val="34"/>
          <w:szCs w:val="34"/>
        </w:rPr>
        <w:t xml:space="preserve"/>
      </w:r>
      <w:r>
        <w:rPr>
          <w:rFonts w:ascii="Calibri" w:cs="Calibri" w:eastAsia="Calibri" w:hAnsi="Calibri"/>
          <w:b/>
          <w:bCs/>
          <w:color w:val="404040"/>
          <w:sz w:val="34"/>
          <w:szCs w:val="34"/>
        </w:rPr>
        <w:t xml:space="preserve">Business Resilience Pulse Check</w:t>
      </w:r>
      <w:r>
        <w:rPr>
          <w:rFonts w:ascii="Calibri" w:cs="Calibri" w:eastAsia="Calibri" w:hAnsi="Calibri"/>
          <w:color w:val="404040"/>
          <w:sz w:val="34"/>
          <w:szCs w:val="34"/>
        </w:rPr>
        <w:t xml:space="preserve"/>
      </w:r>
    </w:p>
    <w:p>
      <w:pPr>
        <w:pStyle w:val="Heading2"/>
        <w:keepNext/>
        <w:spacing w:after="110" w:before="240"/>
      </w:pPr>
      <w:r>
        <w:rPr>
          <w:rFonts w:ascii="Calibri" w:cs="Calibri" w:eastAsia="Calibri" w:hAnsi="Calibri"/>
          <w:b/>
          <w:bCs/>
          <w:color w:val="2E74B5"/>
          <w:sz w:val="25"/>
          <w:szCs w:val="25"/>
        </w:rPr>
        <w:t xml:space="preserve">How Prepared Is Your Organization?</w:t>
      </w:r>
    </w:p>
    <w:p>
      <w:pPr>
        <w:spacing w:after="120" w:before="0" w:line="276"/>
      </w:pPr>
      <w:r>
        <w:rPr>
          <w:rFonts w:ascii="Calibri" w:cs="Calibri" w:eastAsia="Calibri" w:hAnsi="Calibri"/>
          <w:color w:val="404040"/>
          <w:sz w:val="21"/>
          <w:szCs w:val="21"/>
        </w:rPr>
        <w:t xml:space="preserve">Every organization assumes it can handle disruption, until disruption arrives. The Business Resilience Pulse Check is a structured, scenario-driven tabletop exercise that measures your organization’s ability to withstand, respond to, and recover from business disruption. Not through the lens of technical configuration, but through the decisions your leadership team would actually make under pressure.</w:t>
      </w:r>
    </w:p>
    <w:p>
      <w:pPr>
        <w:spacing w:after="120" w:before="0" w:line="276"/>
      </w:pPr>
      <w:r>
        <w:rPr>
          <w:rFonts w:ascii="Calibri" w:cs="Calibri" w:eastAsia="Calibri" w:hAnsi="Calibri"/>
          <w:color w:val="404040"/>
          <w:sz w:val="21"/>
          <w:szCs w:val="21"/>
        </w:rPr>
        <w:t xml:space="preserve">The Pulse Check is how we start every advisory relationship. It gives us, and you, an honest, calibrated picture of where your organization stands today, where the gaps are, and what to prioritize next. The findings don’t sit in a drawer. They become the roadmap for everything we do together.</w:t>
      </w:r>
    </w:p>
    <w:p>
      <w:pPr>
        <w:pStyle w:val="Heading2"/>
        <w:keepNext/>
        <w:spacing w:after="110" w:before="240"/>
      </w:pPr>
      <w:r>
        <w:rPr>
          <w:rFonts w:ascii="Calibri" w:cs="Calibri" w:eastAsia="Calibri" w:hAnsi="Calibri"/>
          <w:b/>
          <w:bCs/>
          <w:color w:val="2E74B5"/>
          <w:sz w:val="25"/>
          <w:szCs w:val="25"/>
        </w:rPr>
        <w:t xml:space="preserve">What We Measure</w:t>
      </w:r>
    </w:p>
    <w:p>
      <w:pPr>
        <w:spacing w:after="120" w:before="0" w:line="276"/>
      </w:pPr>
      <w:r>
        <w:rPr>
          <w:rFonts w:ascii="Calibri" w:cs="Calibri" w:eastAsia="Calibri" w:hAnsi="Calibri"/>
          <w:color w:val="404040"/>
          <w:sz w:val="21"/>
          <w:szCs w:val="21"/>
        </w:rPr>
        <w:t xml:space="preserve">One scenario per engagement, selected from eight business disruption categories based on your risk profile:</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700"/>
        <w:gridCol w:w="6660"/>
      </w:tblGrid>
      <w:tr>
        <w:trPr>
          <w:tblHeader/>
        </w:trPr>
        <w:tc>
          <w:tcPr>
            <w:tcW w:type="dxa" w:w="2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Threat Category</w:t>
            </w:r>
          </w:p>
        </w:tc>
        <w:tc>
          <w:tcPr>
            <w:tcW w:type="dxa" w:w="6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Reveals About Your Organization</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Ransomware</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Payment decision readiness, backup recovery confidence, business continuity capability, vendor coordination speed</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Key Person Loss</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Knowledge concentration risk, succession gaps, access recovery capability, operational single points of failure</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Supply Chain Failure</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Vendor dependency awareness, contractual protections, alternative sourcing readiness, cascade impact understanding</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Natural Disaster</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Remote work capability, facility contingency, insurance claim readiness, employee communication reach</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Breach</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Data scope determination capability, regulatory notification readiness, customer communication preparedness</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Reputation Crisis</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Spokesperson readiness, message discipline under pressure, social media response capability</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Pandemic / Workforce Disruption</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Essential function identification, sustained remote operations capability, workforce continuity</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Infrastructure Outage</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Infrastructure redundancy awareness, cost-of-downtime understanding, recovery prioritization</w:t>
            </w:r>
          </w:p>
        </w:tc>
      </w:tr>
    </w:tbl>
    <w:p>
      <w:pPr>
        <w:pStyle w:val="Heading2"/>
        <w:keepNext/>
        <w:spacing w:after="110" w:before="240"/>
      </w:pPr>
      <w:r>
        <w:rPr>
          <w:rFonts w:ascii="Calibri" w:cs="Calibri" w:eastAsia="Calibri" w:hAnsi="Calibri"/>
          <w:b/>
          <w:bCs/>
          <w:color w:val="2E74B5"/>
          <w:sz w:val="25"/>
          <w:szCs w:val="25"/>
        </w:rPr>
        <w:t xml:space="preserve">What You Receive</w:t>
      </w:r>
    </w:p>
    <w:p>
      <w:pPr>
        <w:pStyle w:val="ListParagraph"/>
        <w:numPr>
          <w:ilvl w:val="0"/>
          <w:numId w:val="2"/>
        </w:numPr>
        <w:spacing w:after="80" w:line="276"/>
      </w:pPr>
      <w:r>
        <w:rPr>
          <w:rFonts w:ascii="Calibri" w:cs="Calibri" w:eastAsia="Calibri" w:hAnsi="Calibri"/>
          <w:color w:val="404040"/>
          <w:sz w:val="21"/>
          <w:szCs w:val="21"/>
        </w:rPr>
        <w:t xml:space="preserve">A professionally facilitated 2–3 hour exercise tailored to your industry and organizational context</w:t>
      </w:r>
    </w:p>
    <w:p>
      <w:pPr>
        <w:pStyle w:val="ListParagraph"/>
        <w:numPr>
          <w:ilvl w:val="0"/>
          <w:numId w:val="2"/>
        </w:numPr>
        <w:spacing w:after="80" w:line="276"/>
      </w:pPr>
      <w:r>
        <w:rPr>
          <w:rFonts w:ascii="Calibri" w:cs="Calibri" w:eastAsia="Calibri" w:hAnsi="Calibri"/>
          <w:color w:val="404040"/>
          <w:sz w:val="21"/>
          <w:szCs w:val="21"/>
        </w:rPr>
        <w:t xml:space="preserve">A peer-reviewed After-Action Report with severity-rated findings and specific, actionable recommendations, honest about what one exercise can and cannot measure</w:t>
      </w:r>
    </w:p>
    <w:p>
      <w:pPr>
        <w:pStyle w:val="ListParagraph"/>
        <w:numPr>
          <w:ilvl w:val="0"/>
          <w:numId w:val="2"/>
        </w:numPr>
        <w:spacing w:after="80" w:line="276"/>
      </w:pPr>
      <w:r>
        <w:rPr>
          <w:rFonts w:ascii="Calibri" w:cs="Calibri" w:eastAsia="Calibri" w:hAnsi="Calibri"/>
          <w:color w:val="404040"/>
          <w:sz w:val="21"/>
          <w:szCs w:val="21"/>
        </w:rPr>
        <w:t xml:space="preserve">A prioritized remediation roadmap with owners and timelines, your resilience roadmap</w:t>
      </w:r>
    </w:p>
    <w:p>
      <w:pPr>
        <w:pStyle w:val="ListParagraph"/>
        <w:numPr>
          <w:ilvl w:val="0"/>
          <w:numId w:val="2"/>
        </w:numPr>
        <w:spacing w:after="80" w:line="276"/>
      </w:pPr>
      <w:r>
        <w:rPr>
          <w:rFonts w:ascii="Calibri" w:cs="Calibri" w:eastAsia="Calibri" w:hAnsi="Calibri"/>
          <w:color w:val="404040"/>
          <w:sz w:val="21"/>
          <w:szCs w:val="21"/>
        </w:rPr>
        <w:t xml:space="preserve">An Executive Summary suitable for board or C-suite distribution</w:t>
      </w:r>
    </w:p>
    <w:p>
      <w:pPr>
        <w:pStyle w:val="ListParagraph"/>
        <w:numPr>
          <w:ilvl w:val="0"/>
          <w:numId w:val="2"/>
        </w:numPr>
        <w:spacing w:after="80" w:line="276"/>
      </w:pPr>
      <w:r>
        <w:rPr>
          <w:rFonts w:ascii="Calibri" w:cs="Calibri" w:eastAsia="Calibri" w:hAnsi="Calibri"/>
          <w:color w:val="404040"/>
          <w:sz w:val="21"/>
          <w:szCs w:val="21"/>
        </w:rPr>
        <w:t xml:space="preserve">A compliance evidence package for auditors, regulators, and your insurance carrier</w:t>
      </w:r>
    </w:p>
    <w:p>
      <w:pPr>
        <w:pStyle w:val="Heading2"/>
        <w:keepNext/>
        <w:spacing w:after="110" w:before="240"/>
      </w:pPr>
      <w:r>
        <w:rPr>
          <w:rFonts w:ascii="Calibri" w:cs="Calibri" w:eastAsia="Calibri" w:hAnsi="Calibri"/>
          <w:b/>
          <w:bCs/>
          <w:color w:val="2E74B5"/>
          <w:sz w:val="25"/>
          <w:szCs w:val="25"/>
        </w:rPr>
        <w:t xml:space="preserve">Why the Pulse Check Is Where Every Relationship Starts</w:t>
      </w:r>
    </w:p>
    <w:tbl>
      <w:tblPr>
        <w:tblW w:type="dxa" w:w="9360"/>
        <w:tblBorders>
          <w:top w:val="single" w:color="BFBFBF" w:sz="4"/>
          <w:left w:val="single" w:color="BFBFBF" w:sz="4"/>
          <w:bottom w:val="single" w:color="BFBFBF" w:sz="4"/>
          <w:right w:val="single" w:color="BFBFBF" w:sz="4"/>
          <w:insideH w:val="single" w:color="BFBFBF" w:sz="4"/>
          <w:insideV w:val="single" w:color="BFBFBF" w:sz="4"/>
        </w:tblBorders>
      </w:tblPr>
      <w:tblGrid>
        <w:gridCol w:w="2700"/>
        <w:gridCol w:w="6660"/>
      </w:tblGrid>
      <w:tr>
        <w:trPr>
          <w:tblHeader/>
        </w:trPr>
        <w:tc>
          <w:tcPr>
            <w:tcW w:type="dxa" w:w="270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Benefit</w:t>
            </w:r>
          </w:p>
        </w:tc>
        <w:tc>
          <w:tcPr>
            <w:tcW w:type="dxa" w:w="6660"/>
            <w:shd w:fill="1F3864" w:val="clear"/>
            <w:tcMar>
              <w:top w:type="dxa" w:w="70"/>
              <w:left w:type="dxa" w:w="110"/>
              <w:bottom w:type="dxa" w:w="70"/>
              <w:right w:type="dxa" w:w="110"/>
            </w:tcMar>
            <w:vAlign w:val="top"/>
          </w:tcPr>
          <w:p>
            <w:pPr>
              <w:spacing w:after="40" w:before="0" w:line="276"/>
            </w:pPr>
            <w:r>
              <w:rPr>
                <w:rFonts w:ascii="Calibri" w:cs="Calibri" w:eastAsia="Calibri" w:hAnsi="Calibri"/>
                <w:b/>
                <w:bCs/>
                <w:color w:val="FFFFFF"/>
                <w:sz w:val="20"/>
                <w:szCs w:val="20"/>
              </w:rPr>
              <w:t xml:space="preserve">What It Means for Your Organization</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Honest baseline</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Before recommending solutions, we measure where you actually stand, not where you think you stand</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Findings-driven roadmap</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Every recommendation we make afterward traces back to what the Pulse Check revealed</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Compliance evidence</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Audit-ready documentation that supports testing requirements in frameworks like HIPAA, PCI-DSS, and SOC 2</w:t>
            </w:r>
          </w:p>
        </w:tc>
      </w:tr>
      <w:tr>
        <w:tc>
          <w:tcPr>
            <w:tcW w:type="dxa" w:w="270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Insurance readiness</w:t>
            </w:r>
          </w:p>
        </w:tc>
        <w:tc>
          <w:tcPr>
            <w:tcW w:type="dxa" w:w="6660"/>
            <w:shd w:fill="FFFFFF"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Many carriers view regular, documented resilience testing favorably, ask your broker about your policy</w:t>
            </w:r>
          </w:p>
        </w:tc>
      </w:tr>
      <w:tr>
        <w:tc>
          <w:tcPr>
            <w:tcW w:type="dxa" w:w="270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Recurring measurement</w:t>
            </w:r>
          </w:p>
        </w:tc>
        <w:tc>
          <w:tcPr>
            <w:tcW w:type="dxa" w:w="6660"/>
            <w:shd w:fill="F2F2F2" w:val="clear"/>
            <w:tcMar>
              <w:top w:type="dxa" w:w="70"/>
              <w:left w:type="dxa" w:w="110"/>
              <w:bottom w:type="dxa" w:w="70"/>
              <w:right w:type="dxa" w:w="110"/>
            </w:tcMar>
            <w:vAlign w:val="top"/>
          </w:tcPr>
          <w:p>
            <w:pPr>
              <w:spacing w:after="40" w:before="0" w:line="276"/>
            </w:pPr>
            <w:r>
              <w:rPr>
                <w:rFonts w:ascii="Calibri" w:cs="Calibri" w:eastAsia="Calibri" w:hAnsi="Calibri"/>
                <w:color w:val="404040"/>
                <w:sz w:val="20"/>
                <w:szCs w:val="20"/>
              </w:rPr>
              <w:t xml:space="preserve">Annual Pulse Checks track your maturity trajectory, showing your investments are working</w:t>
            </w:r>
          </w:p>
        </w:tc>
      </w:tr>
    </w:tbl>
    <w:p>
      <w:pPr>
        <w:spacing w:after="120" w:before="0" w:line="276"/>
      </w:pPr>
      <w:r>
        <w:rPr>
          <w:rFonts w:ascii="Calibri" w:cs="Calibri" w:eastAsia="Calibri" w:hAnsi="Calibri"/>
          <w:color w:val="404040"/>
          <w:sz w:val="21"/>
          <w:szCs w:val="21"/>
        </w:rPr>
        <w:t xml:space="preserve"/>
      </w:r>
      <w:r>
        <w:rPr>
          <w:rFonts w:ascii="Calibri" w:cs="Calibri" w:eastAsia="Calibri" w:hAnsi="Calibri"/>
          <w:b/>
          <w:bCs/>
          <w:color w:val="404040"/>
          <w:sz w:val="21"/>
          <w:szCs w:val="21"/>
        </w:rPr>
        <w:t xml:space="preserve">Contact:</w:t>
      </w:r>
      <w:r>
        <w:rPr>
          <w:rFonts w:ascii="Calibri" w:cs="Calibri" w:eastAsia="Calibri" w:hAnsi="Calibri"/>
          <w:color w:val="404040"/>
          <w:sz w:val="21"/>
          <w:szCs w:val="21"/>
        </w:rPr>
        <w:t xml:space="preserve"> [NAME]  |  [EMAIL]  |  [PHONE]</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Service One-Pager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2026-07-14T20:12:52Z</dcterms:created>
  <dcterms:modified xsi:type="dcterms:W3CDTF">2026-07-14T20:12:52Z</dcterms:modified>
</cp:coreProperties>
</file>

<file path=docProps/custom.xml><?xml version="1.0" encoding="utf-8"?>
<Properties xmlns="http://schemas.openxmlformats.org/officeDocument/2006/custom-properties" xmlns:vt="http://schemas.openxmlformats.org/officeDocument/2006/docPropsVTypes"/>
</file>